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53DD" w:rsidRPr="00F94EBB" w:rsidRDefault="004B53DD" w:rsidP="004B53DD">
      <w:pPr>
        <w:ind w:firstLine="720"/>
        <w:jc w:val="both"/>
        <w:rPr>
          <w:b/>
          <w:sz w:val="24"/>
          <w:szCs w:val="24"/>
        </w:rPr>
      </w:pPr>
      <w:r w:rsidRPr="00F94EBB">
        <w:rPr>
          <w:b/>
          <w:sz w:val="24"/>
          <w:szCs w:val="24"/>
        </w:rPr>
        <w:t>Количественная оценка надежности электроснабжения. Определение ущерба.</w:t>
      </w:r>
    </w:p>
    <w:p w:rsidR="004B53DD" w:rsidRPr="00F94EBB" w:rsidRDefault="004B53DD" w:rsidP="004B53DD">
      <w:pPr>
        <w:ind w:firstLine="720"/>
        <w:jc w:val="both"/>
        <w:rPr>
          <w:b/>
          <w:sz w:val="24"/>
          <w:szCs w:val="24"/>
        </w:rPr>
      </w:pPr>
    </w:p>
    <w:p w:rsidR="004B53DD" w:rsidRPr="00F94EBB" w:rsidRDefault="004B53DD" w:rsidP="004B53DD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>При проектировании сетей выбирается уровень надежности электроснабжения потребителей, и производиться технико-экономическое сравнение различных вариантов схем сети. При сравнении вариантов определяется ожидаемое значение ущерба при возможных перерывах электроснабжения. Ущерб в этом случае носит вероятностный характер. Задача сводиться к определению математического ожидания (среднего значения) ущерба</w:t>
      </w:r>
      <w:proofErr w:type="gramStart"/>
      <w:r w:rsidRPr="00F94EBB">
        <w:rPr>
          <w:sz w:val="24"/>
          <w:szCs w:val="24"/>
        </w:rPr>
        <w:t xml:space="preserve"> </w:t>
      </w:r>
      <w:r w:rsidRPr="00F94EBB">
        <w:rPr>
          <w:i/>
          <w:sz w:val="24"/>
          <w:szCs w:val="24"/>
        </w:rPr>
        <w:t>У</w:t>
      </w:r>
      <w:proofErr w:type="gramEnd"/>
      <w:r w:rsidRPr="00F94EBB">
        <w:rPr>
          <w:sz w:val="24"/>
          <w:szCs w:val="24"/>
        </w:rPr>
        <w:t xml:space="preserve"> за определенный период эксплуатации, обычно за 1 год. При этом определяются вероятностные характеристики, от которых зависит надежность схемы.</w:t>
      </w:r>
    </w:p>
    <w:p w:rsidR="004B53DD" w:rsidRPr="00F94EBB" w:rsidRDefault="004B53DD" w:rsidP="004B53DD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 xml:space="preserve">Определение ущерба при аварийном отключении и отключении на планово-предупредительный ремонт </w:t>
      </w:r>
      <w:proofErr w:type="spellStart"/>
      <w:r w:rsidRPr="00F94EBB">
        <w:rPr>
          <w:sz w:val="24"/>
          <w:szCs w:val="24"/>
        </w:rPr>
        <w:t>одноцепной</w:t>
      </w:r>
      <w:proofErr w:type="spellEnd"/>
      <w:r w:rsidRPr="00F94EBB">
        <w:rPr>
          <w:sz w:val="24"/>
          <w:szCs w:val="24"/>
        </w:rPr>
        <w:t xml:space="preserve"> линии протяженностью </w:t>
      </w:r>
      <w:r w:rsidRPr="00F94EBB">
        <w:rPr>
          <w:i/>
          <w:sz w:val="24"/>
          <w:szCs w:val="24"/>
          <w:lang w:val="en-US"/>
        </w:rPr>
        <w:t>l</w:t>
      </w:r>
      <w:r w:rsidRPr="00F94EBB">
        <w:rPr>
          <w:sz w:val="24"/>
          <w:szCs w:val="24"/>
        </w:rPr>
        <w:t>, км. Из соотношения [7]</w:t>
      </w:r>
    </w:p>
    <w:p w:rsidR="004B53DD" w:rsidRPr="00F94EBB" w:rsidRDefault="004B53DD" w:rsidP="004B53DD">
      <w:pPr>
        <w:ind w:firstLine="720"/>
        <w:jc w:val="right"/>
        <w:rPr>
          <w:sz w:val="24"/>
          <w:szCs w:val="24"/>
        </w:rPr>
      </w:pPr>
      <w:r w:rsidRPr="00F94EBB">
        <w:rPr>
          <w:position w:val="-16"/>
          <w:sz w:val="24"/>
          <w:szCs w:val="24"/>
        </w:rPr>
        <w:object w:dxaOrig="2000" w:dyaOrig="4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9.75pt;height:23.25pt" o:ole="">
            <v:imagedata r:id="rId5" o:title=""/>
          </v:shape>
          <o:OLEObject Type="Embed" ProgID="Equation.3" ShapeID="_x0000_i1025" DrawAspect="Content" ObjectID="_1577015010" r:id="rId6"/>
        </w:object>
      </w:r>
      <w:r w:rsidRPr="00F94EBB">
        <w:rPr>
          <w:sz w:val="24"/>
          <w:szCs w:val="24"/>
        </w:rPr>
        <w:t xml:space="preserve"> </w:t>
      </w:r>
      <w:r w:rsidRPr="004B53DD">
        <w:rPr>
          <w:sz w:val="24"/>
          <w:szCs w:val="24"/>
        </w:rPr>
        <w:t>[</w:t>
      </w:r>
      <w:proofErr w:type="spellStart"/>
      <w:r w:rsidRPr="00F94EBB">
        <w:rPr>
          <w:sz w:val="24"/>
          <w:szCs w:val="24"/>
        </w:rPr>
        <w:t>МВт·</w:t>
      </w:r>
      <w:proofErr w:type="gramStart"/>
      <w:r w:rsidRPr="00F94EBB">
        <w:rPr>
          <w:sz w:val="24"/>
          <w:szCs w:val="24"/>
        </w:rPr>
        <w:t>ч</w:t>
      </w:r>
      <w:proofErr w:type="spellEnd"/>
      <w:proofErr w:type="gramEnd"/>
      <w:r w:rsidRPr="004B53DD">
        <w:rPr>
          <w:sz w:val="24"/>
          <w:szCs w:val="24"/>
        </w:rPr>
        <w:t>]</w:t>
      </w:r>
      <w:r w:rsidRPr="00F94EBB">
        <w:rPr>
          <w:sz w:val="24"/>
          <w:szCs w:val="24"/>
        </w:rPr>
        <w:tab/>
      </w:r>
      <w:r w:rsidRPr="00F94EBB">
        <w:rPr>
          <w:sz w:val="24"/>
          <w:szCs w:val="24"/>
        </w:rPr>
        <w:tab/>
      </w:r>
      <w:r w:rsidRPr="00F94EBB">
        <w:rPr>
          <w:sz w:val="24"/>
          <w:szCs w:val="24"/>
        </w:rPr>
        <w:tab/>
      </w:r>
      <w:r w:rsidRPr="00F94EBB">
        <w:rPr>
          <w:sz w:val="24"/>
          <w:szCs w:val="24"/>
        </w:rPr>
        <w:tab/>
        <w:t>(8)</w:t>
      </w:r>
    </w:p>
    <w:p w:rsidR="004B53DD" w:rsidRPr="00F94EBB" w:rsidRDefault="004B53DD" w:rsidP="004B53DD">
      <w:pPr>
        <w:ind w:firstLine="720"/>
        <w:jc w:val="right"/>
        <w:rPr>
          <w:sz w:val="24"/>
          <w:szCs w:val="24"/>
        </w:rPr>
      </w:pPr>
      <w:r w:rsidRPr="00F94EBB">
        <w:rPr>
          <w:position w:val="-16"/>
          <w:sz w:val="24"/>
          <w:szCs w:val="24"/>
        </w:rPr>
        <w:object w:dxaOrig="2400" w:dyaOrig="460">
          <v:shape id="_x0000_i1026" type="#_x0000_t75" style="width:120pt;height:23.25pt" o:ole="">
            <v:imagedata r:id="rId7" o:title=""/>
          </v:shape>
          <o:OLEObject Type="Embed" ProgID="Equation.3" ShapeID="_x0000_i1026" DrawAspect="Content" ObjectID="_1577015011" r:id="rId8"/>
        </w:object>
      </w:r>
      <w:r w:rsidRPr="00F94EBB">
        <w:rPr>
          <w:sz w:val="24"/>
          <w:szCs w:val="24"/>
        </w:rPr>
        <w:tab/>
      </w:r>
      <w:r w:rsidRPr="00F94EBB">
        <w:rPr>
          <w:sz w:val="24"/>
          <w:szCs w:val="24"/>
        </w:rPr>
        <w:tab/>
      </w:r>
      <w:r w:rsidRPr="00F94EBB">
        <w:rPr>
          <w:sz w:val="24"/>
          <w:szCs w:val="24"/>
        </w:rPr>
        <w:tab/>
      </w:r>
      <w:r w:rsidRPr="00F94EBB">
        <w:rPr>
          <w:sz w:val="24"/>
          <w:szCs w:val="24"/>
        </w:rPr>
        <w:tab/>
        <w:t>(9)</w:t>
      </w:r>
    </w:p>
    <w:p w:rsidR="004B53DD" w:rsidRPr="00F94EBB" w:rsidRDefault="004B53DD" w:rsidP="004B53DD">
      <w:pPr>
        <w:jc w:val="both"/>
        <w:rPr>
          <w:sz w:val="24"/>
          <w:szCs w:val="24"/>
        </w:rPr>
      </w:pPr>
      <w:r w:rsidRPr="00F94EBB">
        <w:rPr>
          <w:sz w:val="24"/>
          <w:szCs w:val="24"/>
        </w:rPr>
        <w:t xml:space="preserve">где </w:t>
      </w:r>
      <w:r w:rsidRPr="00F94EBB">
        <w:rPr>
          <w:position w:val="-16"/>
          <w:sz w:val="24"/>
          <w:szCs w:val="24"/>
        </w:rPr>
        <w:object w:dxaOrig="700" w:dyaOrig="460">
          <v:shape id="_x0000_i1027" type="#_x0000_t75" style="width:35.25pt;height:23.25pt" o:ole="">
            <v:imagedata r:id="rId9" o:title=""/>
          </v:shape>
          <o:OLEObject Type="Embed" ProgID="Equation.3" ShapeID="_x0000_i1027" DrawAspect="Content" ObjectID="_1577015012" r:id="rId10"/>
        </w:object>
      </w:r>
      <w:r w:rsidRPr="00F94EBB">
        <w:rPr>
          <w:sz w:val="24"/>
          <w:szCs w:val="24"/>
        </w:rPr>
        <w:t xml:space="preserve"> – количество энергии, получаемой в течени</w:t>
      </w:r>
      <w:proofErr w:type="gramStart"/>
      <w:r w:rsidRPr="00F94EBB">
        <w:rPr>
          <w:sz w:val="24"/>
          <w:szCs w:val="24"/>
        </w:rPr>
        <w:t>и</w:t>
      </w:r>
      <w:proofErr w:type="gramEnd"/>
      <w:r w:rsidRPr="00F94EBB">
        <w:rPr>
          <w:sz w:val="24"/>
          <w:szCs w:val="24"/>
        </w:rPr>
        <w:t xml:space="preserve"> года потребителями, присоединенными к данной линии.</w:t>
      </w:r>
    </w:p>
    <w:p w:rsidR="004B53DD" w:rsidRPr="00F94EBB" w:rsidRDefault="004B53DD" w:rsidP="004B53DD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>Ущерб, получаемый при аварийном отключении линии</w:t>
      </w:r>
    </w:p>
    <w:p w:rsidR="004B53DD" w:rsidRPr="00F94EBB" w:rsidRDefault="004B53DD" w:rsidP="004B53DD">
      <w:pPr>
        <w:ind w:firstLine="720"/>
        <w:jc w:val="right"/>
        <w:rPr>
          <w:sz w:val="24"/>
          <w:szCs w:val="24"/>
        </w:rPr>
      </w:pPr>
      <w:r w:rsidRPr="00F94EBB">
        <w:rPr>
          <w:position w:val="-16"/>
          <w:sz w:val="24"/>
          <w:szCs w:val="24"/>
        </w:rPr>
        <w:object w:dxaOrig="1480" w:dyaOrig="460">
          <v:shape id="_x0000_i1028" type="#_x0000_t75" style="width:74.25pt;height:23.25pt" o:ole="">
            <v:imagedata r:id="rId11" o:title=""/>
          </v:shape>
          <o:OLEObject Type="Embed" ProgID="Equation.3" ShapeID="_x0000_i1028" DrawAspect="Content" ObjectID="_1577015013" r:id="rId12"/>
        </w:object>
      </w:r>
      <w:r w:rsidRPr="00F94EBB">
        <w:rPr>
          <w:sz w:val="24"/>
          <w:szCs w:val="24"/>
        </w:rPr>
        <w:t>,</w:t>
      </w:r>
      <w:r w:rsidRPr="00F94EBB">
        <w:rPr>
          <w:sz w:val="24"/>
          <w:szCs w:val="24"/>
        </w:rPr>
        <w:tab/>
      </w:r>
      <w:r w:rsidRPr="00F94EBB">
        <w:rPr>
          <w:sz w:val="24"/>
          <w:szCs w:val="24"/>
        </w:rPr>
        <w:tab/>
      </w:r>
      <w:r w:rsidRPr="00F94EBB">
        <w:rPr>
          <w:sz w:val="24"/>
          <w:szCs w:val="24"/>
        </w:rPr>
        <w:tab/>
      </w:r>
      <w:r w:rsidRPr="00F94EBB">
        <w:rPr>
          <w:sz w:val="24"/>
          <w:szCs w:val="24"/>
        </w:rPr>
        <w:tab/>
      </w:r>
      <w:r w:rsidRPr="00F94EBB">
        <w:rPr>
          <w:sz w:val="24"/>
          <w:szCs w:val="24"/>
        </w:rPr>
        <w:tab/>
        <w:t>(10)</w:t>
      </w:r>
    </w:p>
    <w:p w:rsidR="004B53DD" w:rsidRPr="00F94EBB" w:rsidRDefault="004B53DD" w:rsidP="004B53DD">
      <w:pPr>
        <w:jc w:val="both"/>
        <w:rPr>
          <w:sz w:val="24"/>
          <w:szCs w:val="24"/>
        </w:rPr>
      </w:pPr>
      <w:r w:rsidRPr="00F94EBB">
        <w:rPr>
          <w:sz w:val="24"/>
          <w:szCs w:val="24"/>
        </w:rPr>
        <w:t xml:space="preserve">где </w:t>
      </w:r>
      <w:r w:rsidRPr="00F94EBB">
        <w:rPr>
          <w:position w:val="-14"/>
          <w:sz w:val="24"/>
          <w:szCs w:val="24"/>
        </w:rPr>
        <w:object w:dxaOrig="380" w:dyaOrig="440">
          <v:shape id="_x0000_i1029" type="#_x0000_t75" style="width:18.75pt;height:21.75pt" o:ole="">
            <v:imagedata r:id="rId13" o:title=""/>
          </v:shape>
          <o:OLEObject Type="Embed" ProgID="Equation.3" ShapeID="_x0000_i1029" DrawAspect="Content" ObjectID="_1577015014" r:id="rId14"/>
        </w:object>
      </w:r>
      <w:r w:rsidRPr="00F94EBB">
        <w:rPr>
          <w:sz w:val="24"/>
          <w:szCs w:val="24"/>
        </w:rPr>
        <w:t xml:space="preserve"> – удельная стоимость 1МВт·ч </w:t>
      </w:r>
      <w:proofErr w:type="spellStart"/>
      <w:r w:rsidRPr="00F94EBB">
        <w:rPr>
          <w:sz w:val="24"/>
          <w:szCs w:val="24"/>
        </w:rPr>
        <w:t>недоотпущенной</w:t>
      </w:r>
      <w:proofErr w:type="spellEnd"/>
      <w:r w:rsidRPr="00F94EBB">
        <w:rPr>
          <w:sz w:val="24"/>
          <w:szCs w:val="24"/>
        </w:rPr>
        <w:t xml:space="preserve"> энергии.</w:t>
      </w:r>
    </w:p>
    <w:p w:rsidR="004B53DD" w:rsidRPr="00F94EBB" w:rsidRDefault="004B53DD" w:rsidP="004B53DD">
      <w:pPr>
        <w:jc w:val="both"/>
        <w:rPr>
          <w:sz w:val="24"/>
          <w:szCs w:val="24"/>
        </w:rPr>
      </w:pPr>
    </w:p>
    <w:p w:rsidR="004B53DD" w:rsidRPr="00F94EBB" w:rsidRDefault="004B53DD" w:rsidP="004B53DD">
      <w:pPr>
        <w:ind w:firstLine="720"/>
        <w:jc w:val="both"/>
        <w:rPr>
          <w:sz w:val="24"/>
          <w:szCs w:val="24"/>
        </w:rPr>
      </w:pPr>
      <w:bookmarkStart w:id="0" w:name="_GoBack"/>
      <w:bookmarkEnd w:id="0"/>
      <w:r w:rsidRPr="00F94EBB">
        <w:rPr>
          <w:sz w:val="24"/>
          <w:szCs w:val="24"/>
        </w:rPr>
        <w:t>события, проходим через узел "ИЛИ", который указывает на существование трёх сечений: {</w:t>
      </w:r>
      <w:r w:rsidRPr="00F94EBB">
        <w:rPr>
          <w:i/>
          <w:sz w:val="24"/>
          <w:szCs w:val="24"/>
          <w:lang w:val="en-US"/>
        </w:rPr>
        <w:t>P</w:t>
      </w:r>
      <w:r w:rsidRPr="00F94EBB">
        <w:rPr>
          <w:sz w:val="24"/>
          <w:szCs w:val="24"/>
        </w:rPr>
        <w:t>}, {</w:t>
      </w:r>
      <w:r w:rsidRPr="00F94EBB">
        <w:rPr>
          <w:i/>
          <w:sz w:val="24"/>
          <w:szCs w:val="24"/>
          <w:lang w:val="en-US"/>
        </w:rPr>
        <w:t>Q</w:t>
      </w:r>
      <w:r w:rsidRPr="00F94EBB">
        <w:rPr>
          <w:sz w:val="24"/>
          <w:szCs w:val="24"/>
        </w:rPr>
        <w:t>}, {</w:t>
      </w:r>
      <w:r w:rsidRPr="00F94EBB">
        <w:rPr>
          <w:i/>
          <w:sz w:val="24"/>
          <w:szCs w:val="24"/>
          <w:lang w:val="en-US"/>
        </w:rPr>
        <w:t>R</w:t>
      </w:r>
      <w:r w:rsidRPr="00F94EBB">
        <w:rPr>
          <w:sz w:val="24"/>
          <w:szCs w:val="24"/>
        </w:rPr>
        <w:t>}, (</w:t>
      </w:r>
      <w:r w:rsidRPr="00F94EBB">
        <w:rPr>
          <w:i/>
          <w:sz w:val="24"/>
          <w:szCs w:val="24"/>
        </w:rPr>
        <w:t xml:space="preserve">Р, </w:t>
      </w:r>
      <w:r w:rsidRPr="00F94EBB">
        <w:rPr>
          <w:i/>
          <w:sz w:val="24"/>
          <w:szCs w:val="24"/>
          <w:lang w:val="en-US"/>
        </w:rPr>
        <w:t>Q</w:t>
      </w:r>
      <w:r w:rsidRPr="00F94EBB">
        <w:rPr>
          <w:i/>
          <w:sz w:val="24"/>
          <w:szCs w:val="24"/>
        </w:rPr>
        <w:t xml:space="preserve">, </w:t>
      </w:r>
      <w:r w:rsidRPr="00F94EBB">
        <w:rPr>
          <w:i/>
          <w:sz w:val="24"/>
          <w:szCs w:val="24"/>
          <w:lang w:val="en-US"/>
        </w:rPr>
        <w:t>R</w:t>
      </w:r>
      <w:r w:rsidRPr="00F94EBB">
        <w:rPr>
          <w:sz w:val="24"/>
          <w:szCs w:val="24"/>
        </w:rPr>
        <w:t xml:space="preserve"> – события отказов). Каждое из этих сечений может быть разделено далее на большее число сечений, но может выясниться, что отказ сечений обуславливается несколькими событиями, в зависимости от того, какой тип логического узла встречается на пути следования.</w:t>
      </w:r>
    </w:p>
    <w:p w:rsidR="004B53DD" w:rsidRPr="00F94EBB" w:rsidRDefault="004B53DD" w:rsidP="004B53DD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>Например, {</w:t>
      </w:r>
      <w:r w:rsidRPr="00F94EBB">
        <w:rPr>
          <w:sz w:val="24"/>
          <w:szCs w:val="24"/>
          <w:lang w:val="en-US"/>
        </w:rPr>
        <w:t>Q</w:t>
      </w:r>
      <w:r w:rsidRPr="00F94EBB">
        <w:rPr>
          <w:sz w:val="24"/>
          <w:szCs w:val="24"/>
        </w:rPr>
        <w:t>} сначала превращается в сечение {3,</w:t>
      </w:r>
      <w:r w:rsidRPr="00F94EBB">
        <w:rPr>
          <w:i/>
          <w:sz w:val="24"/>
          <w:szCs w:val="24"/>
        </w:rPr>
        <w:t>Т</w:t>
      </w:r>
      <w:r w:rsidRPr="00F94EBB">
        <w:rPr>
          <w:sz w:val="24"/>
          <w:szCs w:val="24"/>
        </w:rPr>
        <w:t xml:space="preserve">}, затем </w:t>
      </w:r>
      <w:r w:rsidRPr="00F94EBB">
        <w:rPr>
          <w:i/>
          <w:sz w:val="24"/>
          <w:szCs w:val="24"/>
        </w:rPr>
        <w:t>Т</w:t>
      </w:r>
      <w:r w:rsidRPr="00F94EBB">
        <w:rPr>
          <w:sz w:val="24"/>
          <w:szCs w:val="24"/>
        </w:rPr>
        <w:t xml:space="preserve"> разделяется на сечения {</w:t>
      </w:r>
      <w:r w:rsidRPr="00F94EBB">
        <w:rPr>
          <w:i/>
          <w:sz w:val="24"/>
          <w:szCs w:val="24"/>
        </w:rPr>
        <w:t>Х</w:t>
      </w:r>
      <w:proofErr w:type="gramStart"/>
      <w:r w:rsidRPr="00F94EBB">
        <w:rPr>
          <w:i/>
          <w:sz w:val="24"/>
          <w:szCs w:val="24"/>
        </w:rPr>
        <w:t>,У</w:t>
      </w:r>
      <w:proofErr w:type="gramEnd"/>
      <w:r w:rsidRPr="00F94EBB">
        <w:rPr>
          <w:sz w:val="24"/>
          <w:szCs w:val="24"/>
        </w:rPr>
        <w:t>}, в результате вместо одного сечения {3,</w:t>
      </w:r>
      <w:r w:rsidRPr="00F94EBB">
        <w:rPr>
          <w:i/>
          <w:sz w:val="24"/>
          <w:szCs w:val="24"/>
        </w:rPr>
        <w:t>Т</w:t>
      </w:r>
      <w:r w:rsidRPr="00F94EBB">
        <w:rPr>
          <w:sz w:val="24"/>
          <w:szCs w:val="24"/>
        </w:rPr>
        <w:t>} появляются два: {3,</w:t>
      </w:r>
      <w:r w:rsidRPr="00F94EBB">
        <w:rPr>
          <w:i/>
          <w:sz w:val="24"/>
          <w:szCs w:val="24"/>
          <w:lang w:val="en-US"/>
        </w:rPr>
        <w:t>X</w:t>
      </w:r>
      <w:r w:rsidRPr="00F94EBB">
        <w:rPr>
          <w:sz w:val="24"/>
          <w:szCs w:val="24"/>
        </w:rPr>
        <w:t>}, {3,</w:t>
      </w:r>
      <w:r w:rsidRPr="00F94EBB">
        <w:rPr>
          <w:i/>
          <w:sz w:val="24"/>
          <w:szCs w:val="24"/>
        </w:rPr>
        <w:t>У</w:t>
      </w:r>
      <w:r w:rsidRPr="00F94EBB">
        <w:rPr>
          <w:sz w:val="24"/>
          <w:szCs w:val="24"/>
        </w:rPr>
        <w:t>}.</w:t>
      </w:r>
    </w:p>
    <w:p w:rsidR="004B53DD" w:rsidRPr="00F94EBB" w:rsidRDefault="004B53DD" w:rsidP="004B53DD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>На каждом из последующих шагов выявляются множества сечений:</w:t>
      </w:r>
    </w:p>
    <w:p w:rsidR="004B53DD" w:rsidRPr="00F94EBB" w:rsidRDefault="004B53DD" w:rsidP="004B53DD">
      <w:pPr>
        <w:ind w:firstLine="720"/>
        <w:jc w:val="both"/>
        <w:rPr>
          <w:sz w:val="24"/>
          <w:szCs w:val="24"/>
        </w:rPr>
      </w:pPr>
      <w:r w:rsidRPr="00F94EBB">
        <w:rPr>
          <w:position w:val="-146"/>
          <w:sz w:val="24"/>
          <w:szCs w:val="24"/>
        </w:rPr>
        <w:object w:dxaOrig="5060" w:dyaOrig="3019">
          <v:shape id="_x0000_i1030" type="#_x0000_t75" style="width:252.75pt;height:150.75pt" o:ole="">
            <v:imagedata r:id="rId15" o:title=""/>
          </v:shape>
          <o:OLEObject Type="Embed" ProgID="Equation.3" ShapeID="_x0000_i1030" DrawAspect="Content" ObjectID="_1577015015" r:id="rId16"/>
        </w:object>
      </w:r>
    </w:p>
    <w:p w:rsidR="004B53DD" w:rsidRPr="00F94EBB" w:rsidRDefault="004B53DD" w:rsidP="004B53DD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>Минимальными сечениями являются выделенные сечения {3,4,5}, {2,3}, {1,3}, {1,2}. Сечение {1,2,3}, не минимальное, поскольку {1,2} – тоже сечение. На последнем шаге множества сечений состоят исключительно из элементов.</w:t>
      </w:r>
    </w:p>
    <w:p w:rsidR="00246E77" w:rsidRDefault="00457902"/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53DD"/>
    <w:rsid w:val="001A14EE"/>
    <w:rsid w:val="003663B7"/>
    <w:rsid w:val="00457902"/>
    <w:rsid w:val="004B53DD"/>
    <w:rsid w:val="00564880"/>
    <w:rsid w:val="00704445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53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1">
    <w:name w:val="heading 1"/>
    <w:basedOn w:val="a"/>
    <w:next w:val="a"/>
    <w:link w:val="10"/>
    <w:qFormat/>
    <w:rsid w:val="004B53DD"/>
    <w:pPr>
      <w:keepNext/>
      <w:outlineLvl w:val="0"/>
    </w:pPr>
    <w:rPr>
      <w:i/>
      <w:sz w:val="32"/>
      <w:szCs w:val="24"/>
      <w:lang w:val="en-US" w:eastAsia="ru-RU"/>
    </w:rPr>
  </w:style>
  <w:style w:type="paragraph" w:styleId="2">
    <w:name w:val="heading 2"/>
    <w:basedOn w:val="a"/>
    <w:next w:val="a"/>
    <w:link w:val="20"/>
    <w:qFormat/>
    <w:rsid w:val="004B53DD"/>
    <w:pPr>
      <w:keepNext/>
      <w:spacing w:line="192" w:lineRule="auto"/>
      <w:jc w:val="center"/>
      <w:outlineLvl w:val="1"/>
    </w:pPr>
    <w:rPr>
      <w:sz w:val="32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B53DD"/>
    <w:rPr>
      <w:rFonts w:ascii="Times New Roman" w:eastAsia="Times New Roman" w:hAnsi="Times New Roman" w:cs="Times New Roman"/>
      <w:i/>
      <w:sz w:val="32"/>
      <w:szCs w:val="24"/>
      <w:lang w:val="en-US" w:eastAsia="ru-RU"/>
    </w:rPr>
  </w:style>
  <w:style w:type="character" w:customStyle="1" w:styleId="20">
    <w:name w:val="Заголовок 2 Знак"/>
    <w:basedOn w:val="a0"/>
    <w:link w:val="2"/>
    <w:rsid w:val="004B53DD"/>
    <w:rPr>
      <w:rFonts w:ascii="Times New Roman" w:eastAsia="Times New Roman" w:hAnsi="Times New Roman" w:cs="Times New Roman"/>
      <w:sz w:val="32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53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1">
    <w:name w:val="heading 1"/>
    <w:basedOn w:val="a"/>
    <w:next w:val="a"/>
    <w:link w:val="10"/>
    <w:qFormat/>
    <w:rsid w:val="004B53DD"/>
    <w:pPr>
      <w:keepNext/>
      <w:outlineLvl w:val="0"/>
    </w:pPr>
    <w:rPr>
      <w:i/>
      <w:sz w:val="32"/>
      <w:szCs w:val="24"/>
      <w:lang w:val="en-US" w:eastAsia="ru-RU"/>
    </w:rPr>
  </w:style>
  <w:style w:type="paragraph" w:styleId="2">
    <w:name w:val="heading 2"/>
    <w:basedOn w:val="a"/>
    <w:next w:val="a"/>
    <w:link w:val="20"/>
    <w:qFormat/>
    <w:rsid w:val="004B53DD"/>
    <w:pPr>
      <w:keepNext/>
      <w:spacing w:line="192" w:lineRule="auto"/>
      <w:jc w:val="center"/>
      <w:outlineLvl w:val="1"/>
    </w:pPr>
    <w:rPr>
      <w:sz w:val="32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B53DD"/>
    <w:rPr>
      <w:rFonts w:ascii="Times New Roman" w:eastAsia="Times New Roman" w:hAnsi="Times New Roman" w:cs="Times New Roman"/>
      <w:i/>
      <w:sz w:val="32"/>
      <w:szCs w:val="24"/>
      <w:lang w:val="en-US" w:eastAsia="ru-RU"/>
    </w:rPr>
  </w:style>
  <w:style w:type="character" w:customStyle="1" w:styleId="20">
    <w:name w:val="Заголовок 2 Знак"/>
    <w:basedOn w:val="a0"/>
    <w:link w:val="2"/>
    <w:rsid w:val="004B53DD"/>
    <w:rPr>
      <w:rFonts w:ascii="Times New Roman" w:eastAsia="Times New Roman" w:hAnsi="Times New Roman" w:cs="Times New Roman"/>
      <w:sz w:val="32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291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2</cp:revision>
  <dcterms:created xsi:type="dcterms:W3CDTF">2018-01-09T08:54:00Z</dcterms:created>
  <dcterms:modified xsi:type="dcterms:W3CDTF">2018-01-09T08:56:00Z</dcterms:modified>
</cp:coreProperties>
</file>